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6E" w:rsidRPr="0023376E" w:rsidRDefault="0023376E" w:rsidP="0023376E">
      <w:pPr>
        <w:jc w:val="center"/>
        <w:rPr>
          <w:rFonts w:ascii="Times New Roman" w:hAnsi="Times New Roman" w:cs="Times New Roman"/>
          <w:sz w:val="32"/>
          <w:szCs w:val="32"/>
        </w:rPr>
      </w:pPr>
      <w:r w:rsidRPr="0023376E">
        <w:rPr>
          <w:rFonts w:ascii="Times New Roman" w:hAnsi="Times New Roman" w:cs="Times New Roman"/>
          <w:sz w:val="32"/>
          <w:szCs w:val="32"/>
        </w:rPr>
        <w:t>Босния после Дейтона – больной человек Европы</w:t>
      </w:r>
    </w:p>
    <w:p w:rsidR="0028733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t xml:space="preserve">При комплексном рассмотрении трансформационных процессов в Боснии и Герцеговине (далее – БиГ), помимо обычных направлений экономической и политической трансформации (демократизация и институциональная трансформация), необходимо иметь в виду и столь важную для этого многонационального государства трансформацию идентичности. Случай с Боснией уникален – в рамках одного государства за последние двадцать лет можно было наблюдать формирование нескольких национальных идентичностей (бошняки, сербы и хорваты), а также общей для всего государства «боснийской» </w:t>
      </w:r>
      <w:proofErr w:type="gramStart"/>
      <w:r w:rsidRPr="0023376E">
        <w:rPr>
          <w:rFonts w:ascii="Times New Roman" w:hAnsi="Times New Roman" w:cs="Times New Roman"/>
          <w:sz w:val="24"/>
          <w:szCs w:val="24"/>
        </w:rPr>
        <w:t>идентичности .</w:t>
      </w:r>
      <w:proofErr w:type="gramEnd"/>
      <w:r w:rsidRPr="0023376E">
        <w:rPr>
          <w:rFonts w:ascii="Times New Roman" w:hAnsi="Times New Roman" w:cs="Times New Roman"/>
          <w:sz w:val="24"/>
          <w:szCs w:val="24"/>
        </w:rPr>
        <w:t xml:space="preserve"> К тому же в развитии государства многое объясняет тот факт, что БиГ только двадцать лет назад пережила два транзита – транзит от состояния гражданской войны с явным внешним участием к миру (подписание Дейтонских соглашений 1995 г.) и государствообразующий переход (БиГ впервые в 1995 г. стала независимым признанным мировым сообществом независимым государством). Причем необходимо иметь в виду, что БиГ стала единственным государством в современной Европе с ограниченным политическим суверенитетом и внешним управлением, осуществляемым Аппаратом Верховного Представителя по БиГ.</w:t>
      </w:r>
    </w:p>
    <w:p w:rsidR="0023376E" w:rsidRPr="0023376E" w:rsidRDefault="0023376E" w:rsidP="0023376E">
      <w:pPr>
        <w:jc w:val="both"/>
        <w:rPr>
          <w:rFonts w:ascii="Times New Roman" w:hAnsi="Times New Roman" w:cs="Times New Roman"/>
          <w:b/>
          <w:sz w:val="24"/>
          <w:szCs w:val="24"/>
        </w:rPr>
      </w:pPr>
      <w:r w:rsidRPr="0023376E">
        <w:rPr>
          <w:rFonts w:ascii="Times New Roman" w:hAnsi="Times New Roman" w:cs="Times New Roman"/>
          <w:b/>
          <w:sz w:val="24"/>
          <w:szCs w:val="24"/>
        </w:rPr>
        <w:t xml:space="preserve">Политическая трансформация. </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t>В ноябре 2015 г. Дейтонским соглашениям, заложившим основы боснийского государства, исполнилось 20 лет. Стоит отметить, что большинство исследователей и экспертов в своем мнении сходятся в одном – политическая трансформация так и не принесла ожидаемых авторами «Дейтона» результатов, практически по всем критериям БиГ заметно отстала от остальных стран региона. Также до сих пор остается открытым вопрос будущего страны, поскольку граждане БиГ недовольны дейтонским конструктом, необходимость реформирования Дейтонских соглашений понятна всем основным его архитекторам, однако консенсуса относительно конституционных изменений нет ни внутри страны, ни за ее пределами.</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t xml:space="preserve">Боснийский федерализм не привел к общегражданскому диалогу, построению общего для всей страны политического пространства. Как и в военное время, вся партийная система страны сводится к тому, что каждая из государствообразующих национальностей представлена в Президиуме и парламенте своей партией с четко выраженной националистической идеологией. </w:t>
      </w:r>
      <w:proofErr w:type="spellStart"/>
      <w:r w:rsidRPr="0023376E">
        <w:rPr>
          <w:rFonts w:ascii="Times New Roman" w:hAnsi="Times New Roman" w:cs="Times New Roman"/>
          <w:sz w:val="24"/>
          <w:szCs w:val="24"/>
        </w:rPr>
        <w:t>Бошнякская</w:t>
      </w:r>
      <w:proofErr w:type="spellEnd"/>
      <w:r w:rsidRPr="0023376E">
        <w:rPr>
          <w:rFonts w:ascii="Times New Roman" w:hAnsi="Times New Roman" w:cs="Times New Roman"/>
          <w:sz w:val="24"/>
          <w:szCs w:val="24"/>
        </w:rPr>
        <w:t xml:space="preserve"> Партия демократического действия (ПДД), Сербская демократическая партия (СДП) и Хорватское демократическое содружество БиГ (ХДС БиГ), будучи главными подстрекателями войны в 1992-1995 гг., продолжали оставаться у власти до 2006 г. Несмотря на появление конкуренции со стороны таких партий как «Союз независимых социал-демократов» (СНСД) в Республике Сербской и «Союза за лучшее будущее БиГ» в ФБиГ на двух последних парламентских выборах, националистическая риторика этих партий немногим отличается от риторики конкурентов.</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t>В целом, Дейтонские соглашения справились только с одной, но очень важной задачей – им удалось прекратить военные действия на территории БиГ. Что касается целей создания жизнеспособного государства, национального примирения между народами и демократизации страны, за эти двадцать лет Федерация не добилась значительного прогресса. Политический транзит Боснии пока далек от завершения, более того – пока не ясны рамки дальнейшего развития государства.</w:t>
      </w:r>
    </w:p>
    <w:p w:rsidR="0023376E" w:rsidRPr="0023376E" w:rsidRDefault="0023376E" w:rsidP="0023376E">
      <w:pPr>
        <w:jc w:val="both"/>
        <w:rPr>
          <w:rFonts w:ascii="Times New Roman" w:hAnsi="Times New Roman" w:cs="Times New Roman"/>
          <w:b/>
          <w:sz w:val="24"/>
          <w:szCs w:val="24"/>
        </w:rPr>
      </w:pPr>
      <w:r w:rsidRPr="0023376E">
        <w:rPr>
          <w:rFonts w:ascii="Times New Roman" w:hAnsi="Times New Roman" w:cs="Times New Roman"/>
          <w:b/>
          <w:sz w:val="24"/>
          <w:szCs w:val="24"/>
        </w:rPr>
        <w:t>Основные движущие силы трансформации</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lastRenderedPageBreak/>
        <w:t xml:space="preserve">Уникальность Боснийского кейса выражается и в том, что в БиГ определяющее значение в процессе трансформации занимают внешние политические </w:t>
      </w:r>
      <w:proofErr w:type="spellStart"/>
      <w:r w:rsidRPr="0023376E">
        <w:rPr>
          <w:rFonts w:ascii="Times New Roman" w:hAnsi="Times New Roman" w:cs="Times New Roman"/>
          <w:sz w:val="24"/>
          <w:szCs w:val="24"/>
        </w:rPr>
        <w:t>акторы</w:t>
      </w:r>
      <w:proofErr w:type="spellEnd"/>
      <w:r w:rsidRPr="0023376E">
        <w:rPr>
          <w:rFonts w:ascii="Times New Roman" w:hAnsi="Times New Roman" w:cs="Times New Roman"/>
          <w:sz w:val="24"/>
          <w:szCs w:val="24"/>
        </w:rPr>
        <w:t xml:space="preserve"> – как посредством работы Аппарата Верховного Представителя, так и через общую для региона руководящую и направляющую роль Европейского Союза. Если до 1999 г. (до момента подписания Пакта стабильности для ЮВЕ (ПСЮВЕ)) основным </w:t>
      </w:r>
      <w:proofErr w:type="spellStart"/>
      <w:r w:rsidRPr="0023376E">
        <w:rPr>
          <w:rFonts w:ascii="Times New Roman" w:hAnsi="Times New Roman" w:cs="Times New Roman"/>
          <w:sz w:val="24"/>
          <w:szCs w:val="24"/>
        </w:rPr>
        <w:t>имплементатором</w:t>
      </w:r>
      <w:proofErr w:type="spellEnd"/>
      <w:r w:rsidRPr="0023376E">
        <w:rPr>
          <w:rFonts w:ascii="Times New Roman" w:hAnsi="Times New Roman" w:cs="Times New Roman"/>
          <w:sz w:val="24"/>
          <w:szCs w:val="24"/>
        </w:rPr>
        <w:t xml:space="preserve"> и инициатором реформ был Верховный представитель, то в период с 1999 г. по 2004 гг. эту роль начинает активно играть ЕС. На саммите в Загребе в 2000 г. Боснии наравне с другими странами Западных Балкан было предложено подписать Соглашение о стабилизации и ассоциации (ССА). БиГ участвовала во всех проектах, предложенных ЕС для стран региона. Чтобы продемонстрировать свою руководящую роль в политическом переходе, в 2002 г. ЕС назначил своим Специальным представителем в стране четвертого Верховного представителя Лорда Пэдди </w:t>
      </w:r>
      <w:proofErr w:type="spellStart"/>
      <w:r w:rsidRPr="0023376E">
        <w:rPr>
          <w:rFonts w:ascii="Times New Roman" w:hAnsi="Times New Roman" w:cs="Times New Roman"/>
          <w:sz w:val="24"/>
          <w:szCs w:val="24"/>
        </w:rPr>
        <w:t>Эшдауна</w:t>
      </w:r>
      <w:proofErr w:type="spellEnd"/>
      <w:r w:rsidRPr="0023376E">
        <w:rPr>
          <w:rFonts w:ascii="Times New Roman" w:hAnsi="Times New Roman" w:cs="Times New Roman"/>
          <w:sz w:val="24"/>
          <w:szCs w:val="24"/>
        </w:rPr>
        <w:t>. До 2011 г. все последующие Верховные представители в стране занимали одновременно два поста. В 2004 г. на основании резолюции СБ ООН операция сил НАТО по поддержанию мира (SFOR) была заменена аналогичной операцией ЕС (EUFOR ALTHEA). Еще раньше, в 2002 г., Европейская полицейская миссия (EUPM) заменила международную полицейскую миссию под эгидой ООН. В эти годы ЕС начал играть ключевую роль наблюдателя за реализацией Дейтонских соглашений как в военном, так и в политическом плане.</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t xml:space="preserve">Несмотря на затянувшийся для Боснии процесс евроинтеграции (БиГ в 2015 г. осталась единственной страной со статусом потенциального кандидата в Евросоюз в своем регионе) и отсутствие ощутимого прогресса в интеграции, Боснии наравне с другими странами региона были предоставлены некоторые поощрительные уступки. В ноябре 2010 г. европейские власти отменили визовый режим для граждан БиГ с целью совершения туристических поездок сроком до 30 дней. Также с момента подписания ССА в 2008 г. для более чем 90% боснийских сельскохозяйственных товаров были отменены ввозные таможенные пошлины. Однако очевидно, что отставание Боснии в процессе евроинтеграции от других стран региона растет, что безусловно ведет к фрустрации как властей, так и населения страны. Ответственность за это несут как боснийские власти, так и Евросоюз - как продемонстрировали вышеприведенные примеры, Евросоюз не всегда был последователен в своей стратегии выбора критерий для продвижения страны на пути интеграции. Переход роли главного инициатора реформ от Верховного Представителя к Евросоюзу и очевидное </w:t>
      </w:r>
      <w:proofErr w:type="spellStart"/>
      <w:r w:rsidRPr="0023376E">
        <w:rPr>
          <w:rFonts w:ascii="Times New Roman" w:hAnsi="Times New Roman" w:cs="Times New Roman"/>
          <w:sz w:val="24"/>
          <w:szCs w:val="24"/>
        </w:rPr>
        <w:t>самоотстранение</w:t>
      </w:r>
      <w:proofErr w:type="spellEnd"/>
      <w:r w:rsidRPr="0023376E">
        <w:rPr>
          <w:rFonts w:ascii="Times New Roman" w:hAnsi="Times New Roman" w:cs="Times New Roman"/>
          <w:sz w:val="24"/>
          <w:szCs w:val="24"/>
        </w:rPr>
        <w:t xml:space="preserve"> В. </w:t>
      </w:r>
      <w:proofErr w:type="spellStart"/>
      <w:r w:rsidRPr="0023376E">
        <w:rPr>
          <w:rFonts w:ascii="Times New Roman" w:hAnsi="Times New Roman" w:cs="Times New Roman"/>
          <w:sz w:val="24"/>
          <w:szCs w:val="24"/>
        </w:rPr>
        <w:t>Инцко</w:t>
      </w:r>
      <w:proofErr w:type="spellEnd"/>
      <w:r w:rsidRPr="0023376E">
        <w:rPr>
          <w:rFonts w:ascii="Times New Roman" w:hAnsi="Times New Roman" w:cs="Times New Roman"/>
          <w:sz w:val="24"/>
          <w:szCs w:val="24"/>
        </w:rPr>
        <w:t xml:space="preserve"> от использования «Боннских полномочий» (большая часть их применения при </w:t>
      </w:r>
      <w:proofErr w:type="spellStart"/>
      <w:r w:rsidRPr="0023376E">
        <w:rPr>
          <w:rFonts w:ascii="Times New Roman" w:hAnsi="Times New Roman" w:cs="Times New Roman"/>
          <w:sz w:val="24"/>
          <w:szCs w:val="24"/>
        </w:rPr>
        <w:t>Инцко</w:t>
      </w:r>
      <w:proofErr w:type="spellEnd"/>
      <w:r w:rsidRPr="0023376E">
        <w:rPr>
          <w:rFonts w:ascii="Times New Roman" w:hAnsi="Times New Roman" w:cs="Times New Roman"/>
          <w:sz w:val="24"/>
          <w:szCs w:val="24"/>
        </w:rPr>
        <w:t xml:space="preserve"> касалась отмены санкций против граждан БиГ, наложенных предыдущими главами АВП) пока существенно не поспособствовали налаживанию национального диалога и достижению боснийскими элитами компромисса по жизненно необходимым для страны реформам.</w:t>
      </w:r>
    </w:p>
    <w:p w:rsidR="0023376E" w:rsidRPr="0023376E" w:rsidRDefault="0023376E" w:rsidP="0023376E">
      <w:pPr>
        <w:jc w:val="both"/>
        <w:rPr>
          <w:rFonts w:ascii="Times New Roman" w:hAnsi="Times New Roman" w:cs="Times New Roman"/>
          <w:b/>
          <w:sz w:val="24"/>
          <w:szCs w:val="24"/>
        </w:rPr>
      </w:pPr>
      <w:r w:rsidRPr="0023376E">
        <w:rPr>
          <w:rFonts w:ascii="Times New Roman" w:hAnsi="Times New Roman" w:cs="Times New Roman"/>
          <w:b/>
          <w:sz w:val="24"/>
          <w:szCs w:val="24"/>
        </w:rPr>
        <w:t>Экономическая трансформация</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t>Годом начала экономической трансформации в Боснии правильно считать 1996 г., когда началась фактическая реализация Дейтонских соглашений. Однако институты рыночной экономики создавались очень медленно и большинство подобных решений было принято Верховным Представителем – законы «О приватизации объектов бизнеса и банков» (1998 г.), «Об учреждении приватизационной мониторинговой комиссии» (1998 г.). В 1998 г. Верховному представителю даже пришлось издать постановление о дизайне банкнот введенной в Боснии Конвертируемой марки после года безуспешных переговоров членов Президиума.</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lastRenderedPageBreak/>
        <w:t>С 2000 по 2008 гг. экономика БиГ, как и экономика других стран региона, росла высокими темпами, достигавшими 6% в 2004 и 2006 гг. Однако кредитный бум, опора на иностранные, преимущественно европейские, инвестиции, быстрый рост бюджетных расходов стали факторами, определившими уязвимость модели экономического развития страны в годы кризиса. Сказалось также и отсутствие структурных реформ в экономике – в стране разросся чиновничий аппарат, фактически бесконтрольно росли госрасходы. Как и в большинстве стран ЦВЕ, рецессия в ЕС в 2009 г. привела к сильному падению спроса на производимые в БиГ товары, а дальнейшие финансовые проблемы и низкая деловая активность в еврозоне препятствуют возобновлению экономического роста. Экономика страны дважды погружалась в рецессию – в 2009 г. (-2,7%) и в 2012 г. (-1,2%).</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t>БиГ демонстрирует самые скромные показатели экономической конвергенции с ЕС среди стран Западных Балкан, причем после мирового кризиса ее отставание от Евросоюза по объему ВВП по ППС на душу населения даже увеличилось.</w:t>
      </w:r>
    </w:p>
    <w:p w:rsidR="0023376E" w:rsidRPr="0023376E" w:rsidRDefault="0023376E" w:rsidP="0023376E">
      <w:pPr>
        <w:jc w:val="both"/>
        <w:rPr>
          <w:rFonts w:ascii="Times New Roman" w:hAnsi="Times New Roman" w:cs="Times New Roman"/>
          <w:b/>
          <w:sz w:val="24"/>
          <w:szCs w:val="24"/>
        </w:rPr>
      </w:pPr>
      <w:r w:rsidRPr="0023376E">
        <w:rPr>
          <w:rFonts w:ascii="Times New Roman" w:hAnsi="Times New Roman" w:cs="Times New Roman"/>
          <w:b/>
          <w:sz w:val="24"/>
          <w:szCs w:val="24"/>
        </w:rPr>
        <w:t>Трансформация и социальная сфера</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t>Ситуация в социальной сфере в БиГ выглядит хуже, чем в соседних странах, и социальные проблемы остаются одними из самых трудно решаемых. Уровень безработицы с 2010 г. держится на уровне 27-28%, а с учетом лиц, незарегистрированных на бирже труда, составляет, по подсчетам, около 45%. По данным Всемирного банка на 2014 г. в БиГ также зарегистрированы самые высокие в Европе показатели долгосрочной безработицы (около 90%) и безработицы среди молодежи (держится на отметке свыше 60% с 2012 г.). Неслучайно Босния за последние 20 лет демонстрирует самые высокие показатели утечки мозгов в Европе – около 25% высококвалифицированного населения покинуло страну. Сложная экономическая ситуация в стране и отсутствие с конца 2010 г. для граждан страны визового режима для поездок в страны ЕС на срок до 30 дней обусловили рост числа граждан, обращающихся в Евросоюз за статусом политических и экономических беженцев, однако шансы на его получения крайне малы.</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t xml:space="preserve">Как следствие разрушительной войны в процессе распада Югославии и общих для всего региона ЮВЕ экономических проблем, возникших в процессе трансформации, согласно некоторым исследованиям в 2/3 жителей Федерации страдают от депрессии и около трети граждан имеют симптомы поствоенного синдрома (ПТСР). Также стоящие перед Боснией острые социальные проблемы как экономического, так и поствоенного этнического характера создают благоприятную почву для </w:t>
      </w:r>
      <w:proofErr w:type="spellStart"/>
      <w:r w:rsidRPr="0023376E">
        <w:rPr>
          <w:rFonts w:ascii="Times New Roman" w:hAnsi="Times New Roman" w:cs="Times New Roman"/>
          <w:sz w:val="24"/>
          <w:szCs w:val="24"/>
        </w:rPr>
        <w:t>маргинализации</w:t>
      </w:r>
      <w:proofErr w:type="spellEnd"/>
      <w:r w:rsidRPr="0023376E">
        <w:rPr>
          <w:rFonts w:ascii="Times New Roman" w:hAnsi="Times New Roman" w:cs="Times New Roman"/>
          <w:sz w:val="24"/>
          <w:szCs w:val="24"/>
        </w:rPr>
        <w:t xml:space="preserve"> и </w:t>
      </w:r>
      <w:proofErr w:type="spellStart"/>
      <w:r w:rsidRPr="0023376E">
        <w:rPr>
          <w:rFonts w:ascii="Times New Roman" w:hAnsi="Times New Roman" w:cs="Times New Roman"/>
          <w:sz w:val="24"/>
          <w:szCs w:val="24"/>
        </w:rPr>
        <w:t>радикализации</w:t>
      </w:r>
      <w:proofErr w:type="spellEnd"/>
      <w:r w:rsidRPr="0023376E">
        <w:rPr>
          <w:rFonts w:ascii="Times New Roman" w:hAnsi="Times New Roman" w:cs="Times New Roman"/>
          <w:sz w:val="24"/>
          <w:szCs w:val="24"/>
        </w:rPr>
        <w:t xml:space="preserve"> молодежи. По официальным данным, за последние два года более 250 граждан БиГ отправились воевать на стороне «</w:t>
      </w:r>
      <w:proofErr w:type="spellStart"/>
      <w:r w:rsidRPr="0023376E">
        <w:rPr>
          <w:rFonts w:ascii="Times New Roman" w:hAnsi="Times New Roman" w:cs="Times New Roman"/>
          <w:sz w:val="24"/>
          <w:szCs w:val="24"/>
        </w:rPr>
        <w:t>ИГИЛа</w:t>
      </w:r>
      <w:proofErr w:type="spellEnd"/>
      <w:r w:rsidRPr="0023376E">
        <w:rPr>
          <w:rFonts w:ascii="Times New Roman" w:hAnsi="Times New Roman" w:cs="Times New Roman"/>
          <w:sz w:val="24"/>
          <w:szCs w:val="24"/>
        </w:rPr>
        <w:t xml:space="preserve">», причем 60 из них вернулись назад. Теракты в </w:t>
      </w:r>
      <w:proofErr w:type="spellStart"/>
      <w:r w:rsidRPr="0023376E">
        <w:rPr>
          <w:rFonts w:ascii="Times New Roman" w:hAnsi="Times New Roman" w:cs="Times New Roman"/>
          <w:sz w:val="24"/>
          <w:szCs w:val="24"/>
        </w:rPr>
        <w:t>Зворнике</w:t>
      </w:r>
      <w:proofErr w:type="spellEnd"/>
      <w:r w:rsidRPr="0023376E">
        <w:rPr>
          <w:rFonts w:ascii="Times New Roman" w:hAnsi="Times New Roman" w:cs="Times New Roman"/>
          <w:sz w:val="24"/>
          <w:szCs w:val="24"/>
        </w:rPr>
        <w:t xml:space="preserve"> (РС) в мае и Сараево (ФБиГ) в ноябре 2015 г. говорят о росте исламизации и террористической угрозы в Боснии.</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t>***</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t>В ходе анализа процессов политической и экономической трансформации следует сделать несколько важных выводов:</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t>1.</w:t>
      </w:r>
      <w:r w:rsidRPr="0023376E">
        <w:rPr>
          <w:rFonts w:ascii="Times New Roman" w:hAnsi="Times New Roman" w:cs="Times New Roman"/>
          <w:sz w:val="24"/>
          <w:szCs w:val="24"/>
        </w:rPr>
        <w:tab/>
        <w:t>Трансформационный опыт Боснии и Герцеговины уникален, так как представляет собой множество разных переходов (от войны к миру, от единого государства к независимому, от разных идентичностей народов к построению единой для страны идентичности). Главную роль в процессах трансформации в первые пять лет после подписания Дейтонских соглашений сыграл Аппарат Верховного Представителя, а после – Евросоюз.</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lastRenderedPageBreak/>
        <w:t>2.</w:t>
      </w:r>
      <w:r w:rsidRPr="0023376E">
        <w:rPr>
          <w:rFonts w:ascii="Times New Roman" w:hAnsi="Times New Roman" w:cs="Times New Roman"/>
          <w:sz w:val="24"/>
          <w:szCs w:val="24"/>
        </w:rPr>
        <w:tab/>
        <w:t xml:space="preserve">Очевидно, что как экономическая, так и политическая трансформация в Боснии не завершилась. БиГ отстает от своих стран-соседей в процессах интеграции с ЕС, большинство макроэкономических показателей в стране являются худшими в регионе. При оценке итогов политического транзита очевидно, что жизнеспособность политической системы, заложенной Дейтонскими соглашениями, вызывает вопросы. </w:t>
      </w:r>
    </w:p>
    <w:p w:rsidR="0023376E" w:rsidRPr="0023376E" w:rsidRDefault="0023376E" w:rsidP="0023376E">
      <w:pPr>
        <w:jc w:val="both"/>
        <w:rPr>
          <w:rFonts w:ascii="Times New Roman" w:hAnsi="Times New Roman" w:cs="Times New Roman"/>
          <w:sz w:val="24"/>
          <w:szCs w:val="24"/>
        </w:rPr>
      </w:pPr>
      <w:r w:rsidRPr="0023376E">
        <w:rPr>
          <w:rFonts w:ascii="Times New Roman" w:hAnsi="Times New Roman" w:cs="Times New Roman"/>
          <w:sz w:val="24"/>
          <w:szCs w:val="24"/>
        </w:rPr>
        <w:t>3.</w:t>
      </w:r>
      <w:r w:rsidRPr="0023376E">
        <w:rPr>
          <w:rFonts w:ascii="Times New Roman" w:hAnsi="Times New Roman" w:cs="Times New Roman"/>
          <w:sz w:val="24"/>
          <w:szCs w:val="24"/>
        </w:rPr>
        <w:tab/>
        <w:t xml:space="preserve">Тяжелая экономическая ситуация в БиГ и, как следствие, проблемы в социальной сфере делают страну уязвимой перед геополитическими угрозами последних лет. Вызывают обеспокоенность рост террористической угрозы и возможное обострение межэтнических проблем. </w:t>
      </w:r>
    </w:p>
    <w:p w:rsidR="0023376E" w:rsidRPr="0023376E" w:rsidRDefault="0023376E" w:rsidP="0023376E">
      <w:pPr>
        <w:jc w:val="both"/>
        <w:rPr>
          <w:rFonts w:ascii="Times New Roman" w:hAnsi="Times New Roman" w:cs="Times New Roman"/>
          <w:sz w:val="24"/>
          <w:szCs w:val="24"/>
        </w:rPr>
      </w:pPr>
      <w:bookmarkStart w:id="0" w:name="_GoBack"/>
      <w:bookmarkEnd w:id="0"/>
    </w:p>
    <w:sectPr w:rsidR="0023376E" w:rsidRPr="00233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8B"/>
    <w:rsid w:val="00170E1C"/>
    <w:rsid w:val="001A70EF"/>
    <w:rsid w:val="0023376E"/>
    <w:rsid w:val="002553D5"/>
    <w:rsid w:val="004E0BE7"/>
    <w:rsid w:val="0086258B"/>
    <w:rsid w:val="00E2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229D5-63FF-46DA-8608-67EC5B3B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1588</Words>
  <Characters>9056</Characters>
  <Application>Microsoft Office Word</Application>
  <DocSecurity>0</DocSecurity>
  <Lines>75</Lines>
  <Paragraphs>21</Paragraphs>
  <ScaleCrop>false</ScaleCrop>
  <Company>SPecialiST RePack</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dc:creator>
  <cp:keywords/>
  <dc:description/>
  <cp:lastModifiedBy>Anatoli</cp:lastModifiedBy>
  <cp:revision>2</cp:revision>
  <dcterms:created xsi:type="dcterms:W3CDTF">2017-09-20T21:39:00Z</dcterms:created>
  <dcterms:modified xsi:type="dcterms:W3CDTF">2017-09-20T21:54:00Z</dcterms:modified>
</cp:coreProperties>
</file>