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94C31" w14:textId="77777777" w:rsidR="008A40D9" w:rsidRPr="000F242C" w:rsidRDefault="008A40D9" w:rsidP="005B5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42C">
        <w:rPr>
          <w:rFonts w:ascii="Times New Roman" w:hAnsi="Times New Roman"/>
          <w:b/>
          <w:sz w:val="24"/>
          <w:szCs w:val="24"/>
        </w:rPr>
        <w:t xml:space="preserve">Хмелевская Наталья Геннадьевна, к.э.н., доцент кафедры </w:t>
      </w:r>
    </w:p>
    <w:p w14:paraId="2BCCF727" w14:textId="77777777" w:rsidR="008A40D9" w:rsidRPr="000F242C" w:rsidRDefault="008A40D9" w:rsidP="005B5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42C">
        <w:rPr>
          <w:rFonts w:ascii="Times New Roman" w:hAnsi="Times New Roman"/>
          <w:b/>
          <w:sz w:val="24"/>
          <w:szCs w:val="24"/>
        </w:rPr>
        <w:t xml:space="preserve">международных экономических отношений и </w:t>
      </w:r>
    </w:p>
    <w:p w14:paraId="713256AD" w14:textId="77777777" w:rsidR="008A40D9" w:rsidRPr="000F242C" w:rsidRDefault="008A40D9" w:rsidP="005B5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42C">
        <w:rPr>
          <w:rFonts w:ascii="Times New Roman" w:hAnsi="Times New Roman"/>
          <w:b/>
          <w:sz w:val="24"/>
          <w:szCs w:val="24"/>
        </w:rPr>
        <w:t xml:space="preserve">внешнеэкономических связей МГИМО (У) МИД России </w:t>
      </w:r>
    </w:p>
    <w:p w14:paraId="33341DF0" w14:textId="77777777" w:rsidR="008A40D9" w:rsidRPr="000F242C" w:rsidRDefault="008A40D9" w:rsidP="009E3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16D5A06" w14:textId="77777777" w:rsidR="008A40D9" w:rsidRPr="000F242C" w:rsidRDefault="008A40D9" w:rsidP="009E3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42C">
        <w:rPr>
          <w:rFonts w:ascii="Times New Roman" w:hAnsi="Times New Roman"/>
          <w:b/>
          <w:sz w:val="24"/>
          <w:szCs w:val="24"/>
        </w:rPr>
        <w:t>Торговый вектор интеграционных процессов в Латинской Америке:</w:t>
      </w:r>
    </w:p>
    <w:p w14:paraId="0B239038" w14:textId="77777777" w:rsidR="008A40D9" w:rsidRPr="000F242C" w:rsidRDefault="008A40D9" w:rsidP="009E3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F242C">
        <w:rPr>
          <w:rFonts w:ascii="Times New Roman" w:hAnsi="Times New Roman"/>
          <w:b/>
          <w:sz w:val="24"/>
          <w:szCs w:val="24"/>
        </w:rPr>
        <w:t>новые ответы на глобальные вызовы</w:t>
      </w:r>
    </w:p>
    <w:p w14:paraId="6E606784" w14:textId="77777777" w:rsidR="008A40D9" w:rsidRPr="000F242C" w:rsidRDefault="008A40D9" w:rsidP="004846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70357B" w14:textId="77777777" w:rsidR="008A40D9" w:rsidRPr="000F242C" w:rsidRDefault="008A40D9" w:rsidP="00210C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C07359" w14:textId="77777777" w:rsidR="008A40D9" w:rsidRPr="000F242C" w:rsidRDefault="008A40D9" w:rsidP="000F2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</w:rPr>
        <w:t>Согласно прогнозам международных организаций, 2014 год может стать для Латинской Америки годом выхода на траекторию экономического роста и устойчивого развития. По рас</w:t>
      </w:r>
      <w:bookmarkStart w:id="0" w:name="_GoBack"/>
      <w:bookmarkEnd w:id="0"/>
      <w:r w:rsidRPr="000F242C">
        <w:rPr>
          <w:rFonts w:ascii="Times New Roman" w:hAnsi="Times New Roman"/>
          <w:sz w:val="24"/>
          <w:szCs w:val="24"/>
        </w:rPr>
        <w:t xml:space="preserve">четам ЭКЛАК, в 2014-2015 гг. рост в регионе прогнозируются на уровне в 3,2% (в 2012 г. это было 2,6%) с достижением в 2016 г. 3,7% (World Bank, 2014). При этом самые высокие темпы прироста ВПП в 2014 г. ожидаются в Мексике – 3,4%, Колумбии  – 4,3-4,5%, Эквадоре – 4,5%, Боливии – 4,7-5%, Перу – 5,5%, Чили – 5% (CEPAL, World Bank, 2014), умеренные – в Аргентине и Бразилии (2,8% и 2,4% соответственно). </w:t>
      </w:r>
    </w:p>
    <w:p w14:paraId="2C15D1A2" w14:textId="77777777" w:rsidR="008A40D9" w:rsidRPr="000F242C" w:rsidRDefault="008A40D9" w:rsidP="000F2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</w:rPr>
        <w:t xml:space="preserve">Для одних стран региона своего рода локомотивом роста может стать торговля – «экономики Бразилии и Меркосур будут развиваться более высокими темпами благодаря увеличению экспорта» (World Bank, 2014), для других – иностранные инвестиции при условии низкой инфляции (Мексика, Колумбия, Перу и Чили; Morgan Stanley, 2014)). Возникает вопрос о том, насколько зрелой является торговая интеграция в странах Латинской Америки для того, чтобы стать таким локомотивом – с точки зрения </w:t>
      </w:r>
      <w:r w:rsidRPr="000F242C">
        <w:rPr>
          <w:rFonts w:ascii="Times New Roman" w:hAnsi="Times New Roman"/>
          <w:b/>
          <w:i/>
          <w:sz w:val="24"/>
          <w:szCs w:val="24"/>
        </w:rPr>
        <w:t>равномерности развития региональных торговых связей</w:t>
      </w:r>
      <w:r w:rsidRPr="000F242C">
        <w:rPr>
          <w:rFonts w:ascii="Times New Roman" w:hAnsi="Times New Roman"/>
          <w:sz w:val="24"/>
          <w:szCs w:val="24"/>
        </w:rPr>
        <w:t xml:space="preserve"> как залога асинхронных реакций национальных экономик на внешние шоки и </w:t>
      </w:r>
      <w:r w:rsidRPr="000F242C">
        <w:rPr>
          <w:rFonts w:ascii="Times New Roman" w:hAnsi="Times New Roman"/>
          <w:b/>
          <w:i/>
          <w:sz w:val="24"/>
          <w:szCs w:val="24"/>
        </w:rPr>
        <w:t>структурных особенностей взаимной торговли</w:t>
      </w:r>
      <w:r w:rsidRPr="000F242C">
        <w:rPr>
          <w:rFonts w:ascii="Times New Roman" w:hAnsi="Times New Roman"/>
          <w:sz w:val="24"/>
          <w:szCs w:val="24"/>
        </w:rPr>
        <w:t xml:space="preserve">, отвечающих потребностям внутреннего развития. </w:t>
      </w:r>
    </w:p>
    <w:p w14:paraId="5C180573" w14:textId="77777777" w:rsidR="008A40D9" w:rsidRPr="000F242C" w:rsidRDefault="008A40D9" w:rsidP="000F2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242C">
        <w:rPr>
          <w:rFonts w:ascii="Times New Roman" w:hAnsi="Times New Roman"/>
          <w:sz w:val="24"/>
          <w:szCs w:val="24"/>
        </w:rPr>
        <w:t xml:space="preserve">В современной литературе торговую интеграцию определяют как «процесс сокращения торговых барьеров и рост участия в международной экономике посредством торговли» (World Bank, 2003). </w:t>
      </w:r>
      <w:r w:rsidRPr="000F242C">
        <w:rPr>
          <w:rFonts w:ascii="Times New Roman" w:hAnsi="Times New Roman"/>
          <w:sz w:val="24"/>
          <w:szCs w:val="24"/>
          <w:lang w:eastAsia="ru-RU"/>
        </w:rPr>
        <w:t xml:space="preserve">В первую очередь, измерим, насколько однородны </w:t>
      </w:r>
      <w:r w:rsidRPr="000F242C">
        <w:rPr>
          <w:rFonts w:ascii="Times New Roman" w:hAnsi="Times New Roman"/>
          <w:sz w:val="24"/>
          <w:szCs w:val="24"/>
        </w:rPr>
        <w:t>торговые потоки</w:t>
      </w:r>
      <w:r w:rsidRPr="000F242C">
        <w:rPr>
          <w:rFonts w:ascii="Times New Roman" w:hAnsi="Times New Roman"/>
          <w:sz w:val="24"/>
          <w:szCs w:val="24"/>
          <w:lang w:eastAsia="ru-RU"/>
        </w:rPr>
        <w:t xml:space="preserve"> между странами-членами крупнейших торговых блоков латиноамериканского региона – Меркосур и Тихоокеанского альянса.</w:t>
      </w:r>
    </w:p>
    <w:p w14:paraId="2095F634" w14:textId="77777777" w:rsidR="008A40D9" w:rsidRPr="000F242C" w:rsidRDefault="008A40D9" w:rsidP="000F2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  <w:lang w:eastAsia="ru-RU"/>
        </w:rPr>
        <w:t xml:space="preserve">В Меркосур, где присутствует ярко выраженный лидер, взаимная торговля имеет наиболее неравномерно распределенный характер – более 60% всех торговых потоков сосредоточено на Бразилии. </w:t>
      </w:r>
      <w:r w:rsidRPr="000F242C">
        <w:rPr>
          <w:rFonts w:ascii="Times New Roman" w:hAnsi="Times New Roman"/>
          <w:sz w:val="24"/>
          <w:szCs w:val="24"/>
        </w:rPr>
        <w:t>В условиях неблагоприятной внешнеторговой конъюнктуры такая высокая концентрация торговых потоков на одном участнике интеграционного объединения неизбежно тр</w:t>
      </w:r>
      <w:r w:rsidRPr="000F242C">
        <w:rPr>
          <w:rFonts w:ascii="Times New Roman" w:hAnsi="Times New Roman"/>
          <w:sz w:val="24"/>
          <w:szCs w:val="24"/>
          <w:lang w:eastAsia="ru-RU"/>
        </w:rPr>
        <w:t>анслирует</w:t>
      </w:r>
      <w:r w:rsidRPr="000F242C">
        <w:rPr>
          <w:rFonts w:ascii="Times New Roman" w:hAnsi="Times New Roman"/>
          <w:sz w:val="24"/>
          <w:szCs w:val="24"/>
        </w:rPr>
        <w:t xml:space="preserve"> его шоки (в т.ч. финансовые) на всех остальных. Это наглядно демонстрировали и кризис 2008-2010 гг., и глобальная турбулентность 2013 года, когда за снижением экспорта Бразилии последовало практически синхронное падение темпов роста внешней торговли всех стран-членов Меркосур, и как следствие, замедление их экономического роста. Особенно ощутимым этот так называемый «эффект домино» </w:t>
      </w:r>
      <w:r w:rsidRPr="000F242C">
        <w:rPr>
          <w:rFonts w:ascii="Times New Roman" w:hAnsi="Times New Roman"/>
          <w:sz w:val="24"/>
          <w:szCs w:val="24"/>
        </w:rPr>
        <w:lastRenderedPageBreak/>
        <w:t xml:space="preserve">становится в условиях высокой структурной связанности </w:t>
      </w:r>
      <w:r w:rsidRPr="000F242C">
        <w:rPr>
          <w:rFonts w:ascii="Times New Roman" w:hAnsi="Times New Roman"/>
          <w:sz w:val="24"/>
          <w:szCs w:val="24"/>
          <w:lang w:eastAsia="ru-RU"/>
        </w:rPr>
        <w:t>товарных потоков участников торговых блоков. Практически половину экспорта Бразилии в страны-члены Меркосур составляют две товарные отрасли – «Транспортные и перевозочные средства» и «Машины и оборудование» (по итогам 2013 г. их совокупная доля превысила 45%), в которых более 71% – это автомобили бразильской сборки и запчасти к ним. Состав статьи «Машины и оборудование» характеризуется большим разнообразием – это 25 товарных позиций с распределением средних долей от 10-13% (двигатели и сельхозмашины) до 2-5% (предметы бытовой техники)</w:t>
      </w:r>
      <w:r w:rsidRPr="000F242C">
        <w:rPr>
          <w:rStyle w:val="a7"/>
          <w:rFonts w:ascii="Times New Roman" w:hAnsi="Times New Roman"/>
          <w:sz w:val="24"/>
          <w:szCs w:val="24"/>
          <w:lang w:eastAsia="ru-RU"/>
        </w:rPr>
        <w:footnoteReference w:id="1"/>
      </w:r>
      <w:r w:rsidRPr="000F242C">
        <w:rPr>
          <w:rFonts w:ascii="Times New Roman" w:hAnsi="Times New Roman"/>
          <w:sz w:val="24"/>
          <w:szCs w:val="24"/>
          <w:lang w:eastAsia="ru-RU"/>
        </w:rPr>
        <w:t>. Таким образом, в случае сокращения одной или нескольких таких позиций общее сжатие экспортного потока будет в пределах математической погрешности (3-5%).</w:t>
      </w:r>
    </w:p>
    <w:p w14:paraId="3412F22C" w14:textId="77777777" w:rsidR="008A40D9" w:rsidRPr="000F242C" w:rsidRDefault="008A40D9" w:rsidP="000F24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  <w:lang w:eastAsia="ru-RU"/>
        </w:rPr>
        <w:t>У стран Тихоокеанского альянса на долю Мексики приходится 43% внутриблокового экспорта, Чили – 21%, Колумбии – 19%, Перу – 17% (по итогам 2013 г.)</w:t>
      </w:r>
      <w:r w:rsidRPr="000F242C">
        <w:rPr>
          <w:rStyle w:val="a7"/>
          <w:rFonts w:ascii="Times New Roman" w:hAnsi="Times New Roman"/>
          <w:sz w:val="24"/>
          <w:szCs w:val="24"/>
          <w:lang w:eastAsia="ru-RU"/>
        </w:rPr>
        <w:footnoteReference w:id="2"/>
      </w:r>
      <w:r w:rsidRPr="000F242C">
        <w:rPr>
          <w:rFonts w:ascii="Times New Roman" w:hAnsi="Times New Roman"/>
          <w:sz w:val="24"/>
          <w:szCs w:val="24"/>
          <w:lang w:eastAsia="ru-RU"/>
        </w:rPr>
        <w:t xml:space="preserve">. Практически двукратное превышение экспорта Мексики, тем не менее, </w:t>
      </w:r>
      <w:r w:rsidRPr="000F242C">
        <w:rPr>
          <w:rFonts w:ascii="Times New Roman" w:hAnsi="Times New Roman"/>
          <w:sz w:val="24"/>
          <w:szCs w:val="24"/>
        </w:rPr>
        <w:t>свидетельствует лишь о том, что внутрирегиональная торговля является более концентрированной. А ведь в терминах ВВП экономика Мексики в 1,5 раза крупнее экономик всех остальных членов альянса вместе взятых (по итогам 2013 г.).</w:t>
      </w:r>
      <w:r w:rsidRPr="000F242C">
        <w:rPr>
          <w:rFonts w:ascii="Times New Roman" w:hAnsi="Times New Roman"/>
          <w:sz w:val="24"/>
          <w:szCs w:val="24"/>
          <w:lang w:eastAsia="ru-RU"/>
        </w:rPr>
        <w:t xml:space="preserve"> Поэтому н</w:t>
      </w:r>
      <w:r w:rsidRPr="000F242C">
        <w:rPr>
          <w:rFonts w:ascii="Times New Roman" w:hAnsi="Times New Roman"/>
          <w:sz w:val="24"/>
          <w:szCs w:val="24"/>
        </w:rPr>
        <w:t xml:space="preserve">еравномерность распределения долей между странами блока (в т.ч. по дисперсии внешнеторговых долей) происходит преимущественно из монокультурной товарной структурой их экспорта. Только у Чили доля трех крупнейших отраслей товарной номенклатуры экспорта в страны альянса составляет в среднем 30% с достаточно разнообразным ассортиментным перечнем товаров. Для всех остальных участников альянса характерна устойчиво высокая концентрация позиций «Топливные продукты», «Транспортные средства» и «Изделия из пластика». </w:t>
      </w:r>
    </w:p>
    <w:p w14:paraId="55E14E2F" w14:textId="77777777" w:rsidR="008A40D9" w:rsidRPr="000F242C" w:rsidRDefault="008A40D9" w:rsidP="000F24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</w:rPr>
        <w:t xml:space="preserve">Пример Чили также показателен с точки зрения политики переориентации экспортных потоков, планомерно проводимой страной на протяжении последнего десятилетия – по итогам 2013 г. на ней было сконцентрировано около трети агрегированного экспорта всех стран-партнеров по альянсу, при том, что для колумбийского экспорта – это 87%, для мексиканского – около 60%, для перуанского – 65%. </w:t>
      </w:r>
    </w:p>
    <w:p w14:paraId="3F8156DD" w14:textId="77777777" w:rsidR="008A40D9" w:rsidRPr="000F242C" w:rsidRDefault="008A40D9" w:rsidP="000F2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  <w:lang w:eastAsia="ru-RU"/>
        </w:rPr>
        <w:t>Интересен также пример Перу и Колумбии, для которых участие сразу в нескольких ведущих интеграционных объединениях региона вошло в план действий по диверсификации географической структуры экспорта за счет расширения круга экспортных рынков и стало средством удержания конкурентных преимуществ через повышение концентрации экспортного рынка на партнерах по торговым блокам.</w:t>
      </w:r>
      <w:r w:rsidRPr="000F242C">
        <w:rPr>
          <w:rFonts w:ascii="Times New Roman" w:hAnsi="Times New Roman"/>
          <w:sz w:val="24"/>
          <w:szCs w:val="24"/>
        </w:rPr>
        <w:t xml:space="preserve"> Так, и</w:t>
      </w:r>
      <w:r w:rsidRPr="000F242C">
        <w:rPr>
          <w:rFonts w:ascii="Times New Roman" w:hAnsi="Times New Roman"/>
          <w:sz w:val="24"/>
          <w:szCs w:val="24"/>
          <w:lang w:eastAsia="ru-RU"/>
        </w:rPr>
        <w:t xml:space="preserve">ндекс Герфиндаля-Хиршмана </w:t>
      </w:r>
      <w:r w:rsidRPr="000F242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внутри Тихоокеанского альянса показывает, что у Перу и Чили его значение самое низкое – другими словами, у них наиболее конкурентные условия торговли. </w:t>
      </w:r>
    </w:p>
    <w:p w14:paraId="5FEE2471" w14:textId="77777777" w:rsidR="008A40D9" w:rsidRPr="000F242C" w:rsidRDefault="008A40D9" w:rsidP="000F2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  <w:lang w:eastAsia="ru-RU"/>
        </w:rPr>
        <w:t>Возросла и интенсивность региональной торговли – по экспорту в Тихоокеанском альянсе она достигла 1.17, а в Меркосур традиционно за последнее десятилетие превышает 9 пунктов (9.34 без учета экспорта Парагвая в 2013 г., в 2003 г. это было 9.14). Для сравнения – в НАФТА ее значение близко к 3, ЕС – к 2 пунктам (по статистике 2013г.)</w:t>
      </w:r>
      <w:r w:rsidRPr="000F242C">
        <w:rPr>
          <w:rStyle w:val="a7"/>
          <w:rFonts w:ascii="Times New Roman" w:hAnsi="Times New Roman"/>
          <w:sz w:val="24"/>
          <w:szCs w:val="24"/>
          <w:lang w:eastAsia="ru-RU"/>
        </w:rPr>
        <w:footnoteReference w:id="3"/>
      </w:r>
      <w:r w:rsidRPr="000F242C">
        <w:rPr>
          <w:rFonts w:ascii="Times New Roman" w:hAnsi="Times New Roman"/>
          <w:sz w:val="24"/>
          <w:szCs w:val="24"/>
          <w:lang w:eastAsia="ru-RU"/>
        </w:rPr>
        <w:t>. Это является ярким свидетельством того, что страны-члены Меркосур теперь уже не безосновательно могут опираться на внутрирегиональную торговлю, интенсивность которой более чем 9 раз выше по сравнению с торговлей с остальным миром. Для примера: по данным Национального института статистики и населения Аргентины, страной назначения по каждой пятой экспортной операции в Аргентине сегодня выступает Бразилия и лишь по каждой пятнадцатой – Китай или США. Из Бразилии поступает 26% всего импорта, что равнозначно общей доле Китая и США (</w:t>
      </w:r>
      <w:r w:rsidRPr="000F242C">
        <w:rPr>
          <w:rFonts w:ascii="Times New Roman" w:hAnsi="Times New Roman"/>
          <w:sz w:val="24"/>
          <w:szCs w:val="24"/>
          <w:lang w:val="en-US"/>
        </w:rPr>
        <w:t>National</w:t>
      </w:r>
      <w:r w:rsidRPr="000F242C">
        <w:rPr>
          <w:rFonts w:ascii="Times New Roman" w:hAnsi="Times New Roman"/>
          <w:sz w:val="24"/>
          <w:szCs w:val="24"/>
        </w:rPr>
        <w:t xml:space="preserve"> </w:t>
      </w:r>
      <w:r w:rsidRPr="000F242C">
        <w:rPr>
          <w:rFonts w:ascii="Times New Roman" w:hAnsi="Times New Roman"/>
          <w:sz w:val="24"/>
          <w:szCs w:val="24"/>
          <w:lang w:val="en-US"/>
        </w:rPr>
        <w:t>Institute</w:t>
      </w:r>
      <w:r w:rsidRPr="000F242C">
        <w:rPr>
          <w:rFonts w:ascii="Times New Roman" w:hAnsi="Times New Roman"/>
          <w:sz w:val="24"/>
          <w:szCs w:val="24"/>
        </w:rPr>
        <w:t xml:space="preserve"> </w:t>
      </w:r>
      <w:r w:rsidRPr="000F242C">
        <w:rPr>
          <w:rFonts w:ascii="Times New Roman" w:hAnsi="Times New Roman"/>
          <w:sz w:val="24"/>
          <w:szCs w:val="24"/>
          <w:lang w:val="en-US"/>
        </w:rPr>
        <w:t>of</w:t>
      </w:r>
      <w:r w:rsidRPr="000F242C">
        <w:rPr>
          <w:rFonts w:ascii="Times New Roman" w:hAnsi="Times New Roman"/>
          <w:sz w:val="24"/>
          <w:szCs w:val="24"/>
        </w:rPr>
        <w:t xml:space="preserve"> </w:t>
      </w:r>
      <w:r w:rsidRPr="000F242C">
        <w:rPr>
          <w:rFonts w:ascii="Times New Roman" w:hAnsi="Times New Roman"/>
          <w:sz w:val="24"/>
          <w:szCs w:val="24"/>
          <w:lang w:val="en-US"/>
        </w:rPr>
        <w:t>Statistics</w:t>
      </w:r>
      <w:r w:rsidRPr="000F242C">
        <w:rPr>
          <w:rFonts w:ascii="Times New Roman" w:hAnsi="Times New Roman"/>
          <w:sz w:val="24"/>
          <w:szCs w:val="24"/>
        </w:rPr>
        <w:t xml:space="preserve"> </w:t>
      </w:r>
      <w:r w:rsidRPr="000F242C">
        <w:rPr>
          <w:rFonts w:ascii="Times New Roman" w:hAnsi="Times New Roman"/>
          <w:sz w:val="24"/>
          <w:szCs w:val="24"/>
          <w:lang w:val="en-US"/>
        </w:rPr>
        <w:t>and</w:t>
      </w:r>
      <w:r w:rsidRPr="000F242C">
        <w:rPr>
          <w:rFonts w:ascii="Times New Roman" w:hAnsi="Times New Roman"/>
          <w:sz w:val="24"/>
          <w:szCs w:val="24"/>
        </w:rPr>
        <w:t xml:space="preserve"> </w:t>
      </w:r>
      <w:r w:rsidRPr="000F242C">
        <w:rPr>
          <w:rFonts w:ascii="Times New Roman" w:hAnsi="Times New Roman"/>
          <w:sz w:val="24"/>
          <w:szCs w:val="24"/>
          <w:lang w:val="en-US"/>
        </w:rPr>
        <w:t>Censuses</w:t>
      </w:r>
      <w:r w:rsidRPr="000F242C">
        <w:rPr>
          <w:rFonts w:ascii="Times New Roman" w:hAnsi="Times New Roman"/>
          <w:sz w:val="24"/>
          <w:szCs w:val="24"/>
        </w:rPr>
        <w:t xml:space="preserve">, </w:t>
      </w:r>
      <w:r w:rsidRPr="000F242C">
        <w:rPr>
          <w:rFonts w:ascii="Times New Roman" w:hAnsi="Times New Roman"/>
          <w:sz w:val="24"/>
          <w:szCs w:val="24"/>
          <w:lang w:val="en-US"/>
        </w:rPr>
        <w:t>Buenos</w:t>
      </w:r>
      <w:r w:rsidRPr="000F242C">
        <w:rPr>
          <w:rFonts w:ascii="Times New Roman" w:hAnsi="Times New Roman"/>
          <w:sz w:val="24"/>
          <w:szCs w:val="24"/>
        </w:rPr>
        <w:t xml:space="preserve"> </w:t>
      </w:r>
      <w:r w:rsidRPr="000F242C">
        <w:rPr>
          <w:rFonts w:ascii="Times New Roman" w:hAnsi="Times New Roman"/>
          <w:sz w:val="24"/>
          <w:szCs w:val="24"/>
          <w:lang w:val="en-US"/>
        </w:rPr>
        <w:t>Aires</w:t>
      </w:r>
      <w:r w:rsidRPr="000F242C">
        <w:rPr>
          <w:rFonts w:ascii="Times New Roman" w:hAnsi="Times New Roman"/>
          <w:sz w:val="24"/>
          <w:szCs w:val="24"/>
        </w:rPr>
        <w:t xml:space="preserve">, </w:t>
      </w:r>
      <w:r w:rsidRPr="000F242C">
        <w:rPr>
          <w:rFonts w:ascii="Times New Roman" w:hAnsi="Times New Roman"/>
          <w:sz w:val="24"/>
          <w:szCs w:val="24"/>
          <w:lang w:val="en-US"/>
        </w:rPr>
        <w:t>February</w:t>
      </w:r>
      <w:r w:rsidRPr="000F242C">
        <w:rPr>
          <w:rFonts w:ascii="Times New Roman" w:hAnsi="Times New Roman"/>
          <w:sz w:val="24"/>
          <w:szCs w:val="24"/>
        </w:rPr>
        <w:t xml:space="preserve"> 13, 2014)</w:t>
      </w:r>
      <w:r w:rsidRPr="000F242C">
        <w:rPr>
          <w:rStyle w:val="a7"/>
          <w:rFonts w:ascii="Times New Roman" w:hAnsi="Times New Roman"/>
          <w:sz w:val="24"/>
          <w:szCs w:val="24"/>
        </w:rPr>
        <w:footnoteReference w:id="4"/>
      </w:r>
      <w:r w:rsidRPr="000F242C">
        <w:rPr>
          <w:rFonts w:ascii="Times New Roman" w:hAnsi="Times New Roman"/>
          <w:sz w:val="24"/>
          <w:szCs w:val="24"/>
        </w:rPr>
        <w:t>.</w:t>
      </w:r>
    </w:p>
    <w:p w14:paraId="4DF8D9D1" w14:textId="77777777" w:rsidR="008A40D9" w:rsidRPr="000F242C" w:rsidRDefault="008A40D9" w:rsidP="000F2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2C">
        <w:rPr>
          <w:rFonts w:ascii="Times New Roman" w:hAnsi="Times New Roman"/>
          <w:sz w:val="24"/>
          <w:szCs w:val="24"/>
        </w:rPr>
        <w:t xml:space="preserve">Такие впечатляющие результаты, безусловно, отражают те глубокие изменения, которые проистекают из полной отмены торговых барьеров между странами-членами Меркосур – в июле 2010 г. окончательный переход к таможенному союзу был оформлен Единым таможенным кодексом, а затем подкреплен Соглашением о порядке определения страны происхождения и Соглашением о защите конкуренции (16 декабря 2010 г.), а также Решением о свободе транзита (вступило в силу с 1 января 2012 г.). Сегодня около 70% ставок национальных таможенных тарифов связаны единым тарифом Меркосур (при среднем уровне в 11,5%). Наряду с этим на пути торговой интеграции Меркосур внедрял нетривиальные инициативы, целью которых, на наш взгляд, была так называемая «восходящая интеграция» с микро- на макроуровень. Речь идет, в первую очередь, о снижении транзакционных издержек внешнеторговой деятельности. </w:t>
      </w:r>
    </w:p>
    <w:p w14:paraId="5EC90DCD" w14:textId="77777777" w:rsidR="008A40D9" w:rsidRPr="000F242C" w:rsidRDefault="008A40D9" w:rsidP="000F242C">
      <w:pPr>
        <w:pStyle w:val="a9"/>
        <w:spacing w:before="0" w:beforeAutospacing="0" w:after="0" w:afterAutospacing="0" w:line="360" w:lineRule="auto"/>
        <w:ind w:firstLine="709"/>
        <w:jc w:val="both"/>
      </w:pPr>
      <w:r w:rsidRPr="000F242C">
        <w:t xml:space="preserve">В конце 2007 г. государства-участницы Меркосур приняли решение о переходе в своих трансграничных расчетах на национальные (местные) валюты, которое в 2009 г. было оформлено первым двухсторонним соглашением между центральными банками Бразилии и Аргентины. Официально такая схема расчетов не отнесена к категории межгосударственного клиринга – речь идет о применении прямых котировок валют без обязательства центральных банков предоставлять платежные лимиты уполномоченным банкам-участникам. Однако популярность реало- и песо-номинированных расчетов росла ошеломляющими темпами – уже в 2009 г. был зафиксирован прирост в 151% (среднее), не снизившийся затем ни разу </w:t>
      </w:r>
      <w:r w:rsidRPr="000F242C">
        <w:lastRenderedPageBreak/>
        <w:t>менее 100%. Среди причин тому и сопоставимые административные формальности для таких переводов (они аналогичны внутренним требованиям), и высокий уровень проникновения банковских услуг в Бразилии и Аргентине, и, что стало особенно ощутимым в 2012-2013 гг., возможность управлять валютными рисками, выбирая валюту платежа (темпы девальвации песо в разы превышали ослабление реала). Так, сигналом хеджирования рисков девальвации аргентинского песо в конце 2012 г. стал исторический максимум объемов и количества сделок, расчеты в которых проводились в реалах (более 207 млн. реалов и 992 сделки, соответственно)</w:t>
      </w:r>
      <w:r w:rsidRPr="000F242C">
        <w:rPr>
          <w:rStyle w:val="a7"/>
        </w:rPr>
        <w:footnoteReference w:id="5"/>
      </w:r>
      <w:r w:rsidRPr="000F242C">
        <w:t xml:space="preserve">. </w:t>
      </w:r>
    </w:p>
    <w:p w14:paraId="62235A5F" w14:textId="77777777" w:rsidR="008A40D9" w:rsidRPr="000F242C" w:rsidRDefault="008A40D9" w:rsidP="000F242C">
      <w:pPr>
        <w:pStyle w:val="a9"/>
        <w:spacing w:before="0" w:beforeAutospacing="0" w:after="0" w:afterAutospacing="0" w:line="360" w:lineRule="auto"/>
        <w:ind w:firstLine="709"/>
        <w:jc w:val="both"/>
      </w:pPr>
      <w:r w:rsidRPr="000F242C">
        <w:t>Выгодность использования такого инструмента минимизации курсовой разницы отразилась также на среднем размере сделки, который в 2009 г. практически молниеносно достиг 332 тыс. реалов, сократившись лишь в конце 2013 г. до 209 тыс. реалов</w:t>
      </w:r>
      <w:r w:rsidRPr="000F242C">
        <w:rPr>
          <w:rStyle w:val="a7"/>
        </w:rPr>
        <w:footnoteReference w:id="6"/>
      </w:r>
      <w:r w:rsidRPr="000F242C">
        <w:t>. Это свидетельствует о его применении широким кругом компаний – от мелких и средних до крупных. Во-вторых, это выразилось и в повышении ритмичности функционирования схемы (среднеквадрат. отклонение с 140% сузилось до 21%). В кризисный 2010 год среднемесячная сумма расчетов практически в 3,5 раза превысила 2009 год, а количество сделок возросло в два раза. Таким образом, на сегодня накопленная сумма расчетов в бразильских реалах и аргентинских песо превысила 17,2 млрд. (на 1 апреля 2014 г.) по 27698 торговым сделкам. В октябре 2009 г. аналогичная договоренность была также достигнута между Бразилией и Уругваем.</w:t>
      </w:r>
    </w:p>
    <w:sectPr w:rsidR="008A40D9" w:rsidRPr="000F242C" w:rsidSect="005672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9C279" w14:textId="77777777" w:rsidR="008A40D9" w:rsidRDefault="008A40D9" w:rsidP="005F7185">
      <w:pPr>
        <w:spacing w:after="0" w:line="240" w:lineRule="auto"/>
      </w:pPr>
      <w:r>
        <w:separator/>
      </w:r>
    </w:p>
  </w:endnote>
  <w:endnote w:type="continuationSeparator" w:id="0">
    <w:p w14:paraId="2AFDBF9D" w14:textId="77777777" w:rsidR="008A40D9" w:rsidRDefault="008A40D9" w:rsidP="005F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ED3BE" w14:textId="77777777" w:rsidR="008A40D9" w:rsidRDefault="008A40D9" w:rsidP="005F7185">
      <w:pPr>
        <w:spacing w:after="0" w:line="240" w:lineRule="auto"/>
      </w:pPr>
      <w:r>
        <w:separator/>
      </w:r>
    </w:p>
  </w:footnote>
  <w:footnote w:type="continuationSeparator" w:id="0">
    <w:p w14:paraId="3D8F2CEC" w14:textId="77777777" w:rsidR="008A40D9" w:rsidRDefault="008A40D9" w:rsidP="005F7185">
      <w:pPr>
        <w:spacing w:after="0" w:line="240" w:lineRule="auto"/>
      </w:pPr>
      <w:r>
        <w:continuationSeparator/>
      </w:r>
    </w:p>
  </w:footnote>
  <w:footnote w:id="1">
    <w:p w14:paraId="5F1E28B7" w14:textId="77777777" w:rsidR="008A40D9" w:rsidRDefault="008A40D9">
      <w:pPr>
        <w:pStyle w:val="a5"/>
      </w:pPr>
      <w:r w:rsidRPr="00F54204"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Рас</w:t>
      </w:r>
      <w:r w:rsidRPr="00F54204">
        <w:rPr>
          <w:rFonts w:ascii="Times New Roman" w:hAnsi="Times New Roman"/>
          <w:sz w:val="22"/>
          <w:szCs w:val="22"/>
        </w:rPr>
        <w:t xml:space="preserve">считано автором по данным МТЦ ЮНКТАД (ВТО) </w:t>
      </w:r>
      <w:hyperlink r:id="rId1" w:history="1">
        <w:r w:rsidRPr="00F54204">
          <w:rPr>
            <w:rStyle w:val="a3"/>
            <w:rFonts w:ascii="Times New Roman" w:hAnsi="Times New Roman"/>
            <w:sz w:val="22"/>
            <w:szCs w:val="22"/>
          </w:rPr>
          <w:t>http://www.trademap.org/Bilateral_TS.aspx</w:t>
        </w:r>
      </w:hyperlink>
      <w:r w:rsidRPr="00F54204">
        <w:rPr>
          <w:rFonts w:ascii="Times New Roman" w:hAnsi="Times New Roman"/>
          <w:sz w:val="22"/>
          <w:szCs w:val="22"/>
        </w:rPr>
        <w:t xml:space="preserve"> </w:t>
      </w:r>
    </w:p>
  </w:footnote>
  <w:footnote w:id="2">
    <w:p w14:paraId="230CEF4A" w14:textId="77777777" w:rsidR="008A40D9" w:rsidRDefault="008A40D9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Рас</w:t>
      </w:r>
      <w:r w:rsidRPr="00F54204">
        <w:rPr>
          <w:rFonts w:ascii="Times New Roman" w:hAnsi="Times New Roman"/>
          <w:sz w:val="22"/>
          <w:szCs w:val="22"/>
        </w:rPr>
        <w:t xml:space="preserve">считано автором по данным МТЦ ЮНКТАД (ВТО) </w:t>
      </w:r>
      <w:hyperlink r:id="rId2" w:history="1">
        <w:r w:rsidRPr="00F54204">
          <w:rPr>
            <w:rStyle w:val="a3"/>
            <w:rFonts w:ascii="Times New Roman" w:hAnsi="Times New Roman"/>
            <w:sz w:val="22"/>
            <w:szCs w:val="22"/>
          </w:rPr>
          <w:t>http://www.trademap.org/Bilateral_TS.aspx</w:t>
        </w:r>
      </w:hyperlink>
      <w:r w:rsidRPr="00F54204">
        <w:rPr>
          <w:rFonts w:ascii="Times New Roman" w:hAnsi="Times New Roman"/>
          <w:sz w:val="22"/>
          <w:szCs w:val="22"/>
        </w:rPr>
        <w:t xml:space="preserve"> </w:t>
      </w:r>
    </w:p>
  </w:footnote>
  <w:footnote w:id="3">
    <w:p w14:paraId="4244B88F" w14:textId="77777777" w:rsidR="008A40D9" w:rsidRDefault="008A40D9">
      <w:pPr>
        <w:pStyle w:val="a5"/>
      </w:pPr>
      <w:r>
        <w:rPr>
          <w:rStyle w:val="a7"/>
        </w:rPr>
        <w:footnoteRef/>
      </w:r>
      <w:r w:rsidRPr="0007708B">
        <w:t xml:space="preserve"> </w:t>
      </w:r>
      <w:r>
        <w:rPr>
          <w:rFonts w:ascii="Times New Roman" w:hAnsi="Times New Roman"/>
          <w:sz w:val="22"/>
          <w:szCs w:val="22"/>
        </w:rPr>
        <w:t>Рас</w:t>
      </w:r>
      <w:r w:rsidRPr="00F54204">
        <w:rPr>
          <w:rFonts w:ascii="Times New Roman" w:hAnsi="Times New Roman"/>
          <w:sz w:val="22"/>
          <w:szCs w:val="22"/>
        </w:rPr>
        <w:t xml:space="preserve">считано автором по данным МТЦ ЮНКТАД (ВТО) </w:t>
      </w:r>
      <w:hyperlink r:id="rId3" w:history="1">
        <w:r w:rsidRPr="00F54204">
          <w:rPr>
            <w:rStyle w:val="a3"/>
            <w:rFonts w:ascii="Times New Roman" w:hAnsi="Times New Roman"/>
            <w:sz w:val="22"/>
            <w:szCs w:val="22"/>
          </w:rPr>
          <w:t>http://www.trademap.org/Bilateral_TS.aspx</w:t>
        </w:r>
      </w:hyperlink>
      <w:r w:rsidRPr="00F54204">
        <w:rPr>
          <w:rFonts w:ascii="Times New Roman" w:hAnsi="Times New Roman"/>
          <w:sz w:val="22"/>
          <w:szCs w:val="22"/>
        </w:rPr>
        <w:t xml:space="preserve"> </w:t>
      </w:r>
    </w:p>
  </w:footnote>
  <w:footnote w:id="4">
    <w:p w14:paraId="61691526" w14:textId="77777777" w:rsidR="008A40D9" w:rsidRDefault="008A40D9">
      <w:pPr>
        <w:pStyle w:val="a5"/>
      </w:pPr>
      <w:r w:rsidRPr="00E775E5">
        <w:rPr>
          <w:rStyle w:val="a7"/>
          <w:rFonts w:ascii="Times New Roman" w:hAnsi="Times New Roman"/>
          <w:sz w:val="22"/>
          <w:szCs w:val="22"/>
        </w:rPr>
        <w:footnoteRef/>
      </w:r>
      <w:r w:rsidRPr="00E775E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775E5">
        <w:rPr>
          <w:rFonts w:ascii="Times New Roman" w:hAnsi="Times New Roman"/>
          <w:sz w:val="22"/>
          <w:szCs w:val="22"/>
        </w:rPr>
        <w:t>См</w:t>
      </w:r>
      <w:r w:rsidRPr="00E775E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775E5">
        <w:rPr>
          <w:rFonts w:ascii="Times New Roman" w:hAnsi="Times New Roman"/>
          <w:sz w:val="22"/>
          <w:szCs w:val="22"/>
        </w:rPr>
        <w:t>подробнее</w:t>
      </w:r>
      <w:r w:rsidRPr="00E775E5">
        <w:rPr>
          <w:rFonts w:ascii="Times New Roman" w:hAnsi="Times New Roman"/>
          <w:sz w:val="22"/>
          <w:szCs w:val="22"/>
          <w:lang w:val="en-US"/>
        </w:rPr>
        <w:t>: National Institute of Statistics and Censuses, Buenos Aires, february 13 of 2014.</w:t>
      </w:r>
    </w:p>
  </w:footnote>
  <w:footnote w:id="5">
    <w:p w14:paraId="175D2C6C" w14:textId="77777777" w:rsidR="008A40D9" w:rsidRDefault="008A40D9">
      <w:pPr>
        <w:pStyle w:val="a5"/>
      </w:pPr>
      <w:r>
        <w:rPr>
          <w:rStyle w:val="a7"/>
        </w:rPr>
        <w:footnoteRef/>
      </w:r>
      <w:r>
        <w:t xml:space="preserve"> </w:t>
      </w:r>
      <w:r w:rsidRPr="00AC5F5F">
        <w:rPr>
          <w:rFonts w:ascii="Times New Roman" w:hAnsi="Times New Roman"/>
          <w:sz w:val="22"/>
          <w:szCs w:val="22"/>
        </w:rPr>
        <w:t>Рассчитано по данным ЦБ Бразилии.</w:t>
      </w:r>
    </w:p>
  </w:footnote>
  <w:footnote w:id="6">
    <w:p w14:paraId="6C7DE800" w14:textId="77777777" w:rsidR="008A40D9" w:rsidRDefault="008A40D9" w:rsidP="00BA5265">
      <w:pPr>
        <w:pStyle w:val="a5"/>
      </w:pPr>
      <w:r w:rsidRPr="00AC5F5F">
        <w:rPr>
          <w:rStyle w:val="a7"/>
          <w:rFonts w:ascii="Times New Roman" w:hAnsi="Times New Roman"/>
          <w:sz w:val="22"/>
          <w:szCs w:val="22"/>
        </w:rPr>
        <w:footnoteRef/>
      </w:r>
      <w:r w:rsidRPr="00AC5F5F">
        <w:rPr>
          <w:rFonts w:ascii="Times New Roman" w:hAnsi="Times New Roman"/>
          <w:sz w:val="22"/>
          <w:szCs w:val="22"/>
        </w:rPr>
        <w:t xml:space="preserve"> </w:t>
      </w:r>
      <w:r w:rsidRPr="00AC5F5F">
        <w:rPr>
          <w:rFonts w:ascii="Times New Roman" w:hAnsi="Times New Roman"/>
          <w:sz w:val="22"/>
          <w:szCs w:val="22"/>
        </w:rPr>
        <w:t>Рассчитано по данным ЦБ Бразилии.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3141"/>
    <w:multiLevelType w:val="hybridMultilevel"/>
    <w:tmpl w:val="586A3986"/>
    <w:lvl w:ilvl="0" w:tplc="2B6C4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E5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CE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03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C0E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7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0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69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D"/>
    <w:rsid w:val="0007708B"/>
    <w:rsid w:val="000A0ED1"/>
    <w:rsid w:val="000D0263"/>
    <w:rsid w:val="000F242C"/>
    <w:rsid w:val="0010623A"/>
    <w:rsid w:val="001111B5"/>
    <w:rsid w:val="00116F6F"/>
    <w:rsid w:val="00137D66"/>
    <w:rsid w:val="00163D67"/>
    <w:rsid w:val="001873B0"/>
    <w:rsid w:val="001950C9"/>
    <w:rsid w:val="001B3870"/>
    <w:rsid w:val="001D1DE4"/>
    <w:rsid w:val="001F432C"/>
    <w:rsid w:val="00207DEF"/>
    <w:rsid w:val="00210CBD"/>
    <w:rsid w:val="002211BE"/>
    <w:rsid w:val="00223506"/>
    <w:rsid w:val="002569E5"/>
    <w:rsid w:val="0027640D"/>
    <w:rsid w:val="002B2FC5"/>
    <w:rsid w:val="00324FA5"/>
    <w:rsid w:val="00326BBB"/>
    <w:rsid w:val="00326BF8"/>
    <w:rsid w:val="003401EF"/>
    <w:rsid w:val="00346632"/>
    <w:rsid w:val="003524F1"/>
    <w:rsid w:val="00376D05"/>
    <w:rsid w:val="003843C3"/>
    <w:rsid w:val="003A60ED"/>
    <w:rsid w:val="003A696F"/>
    <w:rsid w:val="003F4313"/>
    <w:rsid w:val="0040641C"/>
    <w:rsid w:val="00473489"/>
    <w:rsid w:val="00484647"/>
    <w:rsid w:val="00490271"/>
    <w:rsid w:val="004A216C"/>
    <w:rsid w:val="004A3B10"/>
    <w:rsid w:val="004B5618"/>
    <w:rsid w:val="004B663B"/>
    <w:rsid w:val="004B6954"/>
    <w:rsid w:val="004E4F86"/>
    <w:rsid w:val="004E5B78"/>
    <w:rsid w:val="00501591"/>
    <w:rsid w:val="005178E3"/>
    <w:rsid w:val="005218B6"/>
    <w:rsid w:val="0056400F"/>
    <w:rsid w:val="0056727B"/>
    <w:rsid w:val="00584817"/>
    <w:rsid w:val="00596D07"/>
    <w:rsid w:val="005B5C1A"/>
    <w:rsid w:val="005C1B5B"/>
    <w:rsid w:val="005E326B"/>
    <w:rsid w:val="005E4A35"/>
    <w:rsid w:val="005E7E15"/>
    <w:rsid w:val="005F7185"/>
    <w:rsid w:val="0063017E"/>
    <w:rsid w:val="00632280"/>
    <w:rsid w:val="0063492E"/>
    <w:rsid w:val="006A62EC"/>
    <w:rsid w:val="006B12BB"/>
    <w:rsid w:val="006D1BBE"/>
    <w:rsid w:val="00721692"/>
    <w:rsid w:val="0073307C"/>
    <w:rsid w:val="00736B5C"/>
    <w:rsid w:val="00740E85"/>
    <w:rsid w:val="00795437"/>
    <w:rsid w:val="007A647A"/>
    <w:rsid w:val="007B0500"/>
    <w:rsid w:val="007E525C"/>
    <w:rsid w:val="0080524F"/>
    <w:rsid w:val="00816D0F"/>
    <w:rsid w:val="00821061"/>
    <w:rsid w:val="00827B13"/>
    <w:rsid w:val="00841012"/>
    <w:rsid w:val="008459C1"/>
    <w:rsid w:val="008828C9"/>
    <w:rsid w:val="008A40D9"/>
    <w:rsid w:val="008B42F3"/>
    <w:rsid w:val="008C3317"/>
    <w:rsid w:val="008D0B9B"/>
    <w:rsid w:val="008D7D94"/>
    <w:rsid w:val="008F7CF4"/>
    <w:rsid w:val="0090525E"/>
    <w:rsid w:val="00920BFA"/>
    <w:rsid w:val="0097328F"/>
    <w:rsid w:val="009A4E10"/>
    <w:rsid w:val="009E3F2C"/>
    <w:rsid w:val="009F629A"/>
    <w:rsid w:val="00A0287F"/>
    <w:rsid w:val="00A12E5E"/>
    <w:rsid w:val="00A12FF8"/>
    <w:rsid w:val="00A45E13"/>
    <w:rsid w:val="00A57D66"/>
    <w:rsid w:val="00A90DB5"/>
    <w:rsid w:val="00A95657"/>
    <w:rsid w:val="00AC5F5F"/>
    <w:rsid w:val="00AD64E4"/>
    <w:rsid w:val="00AF51C7"/>
    <w:rsid w:val="00B564DE"/>
    <w:rsid w:val="00B62709"/>
    <w:rsid w:val="00BA5265"/>
    <w:rsid w:val="00BC6C23"/>
    <w:rsid w:val="00BF202D"/>
    <w:rsid w:val="00C45BA7"/>
    <w:rsid w:val="00C5227C"/>
    <w:rsid w:val="00C628BE"/>
    <w:rsid w:val="00C707BD"/>
    <w:rsid w:val="00C94736"/>
    <w:rsid w:val="00CB18F9"/>
    <w:rsid w:val="00D10F20"/>
    <w:rsid w:val="00D50A3F"/>
    <w:rsid w:val="00E066FB"/>
    <w:rsid w:val="00E41544"/>
    <w:rsid w:val="00E53E08"/>
    <w:rsid w:val="00E775E5"/>
    <w:rsid w:val="00EC73CD"/>
    <w:rsid w:val="00EE0ABD"/>
    <w:rsid w:val="00F41A7F"/>
    <w:rsid w:val="00F450EE"/>
    <w:rsid w:val="00F54204"/>
    <w:rsid w:val="00F56000"/>
    <w:rsid w:val="00F96156"/>
    <w:rsid w:val="00FA607F"/>
    <w:rsid w:val="00FD2219"/>
    <w:rsid w:val="00FE6145"/>
    <w:rsid w:val="00FE6555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B9F5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0CBD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E066FB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5F71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F7185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F7185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8B42F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6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4B663B"/>
    <w:rPr>
      <w:lang w:eastAsia="en-US"/>
    </w:rPr>
  </w:style>
  <w:style w:type="paragraph" w:styleId="ab">
    <w:name w:val="Balloon Text"/>
    <w:basedOn w:val="a"/>
    <w:link w:val="ac"/>
    <w:uiPriority w:val="99"/>
    <w:semiHidden/>
    <w:rsid w:val="004B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B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demap.org/Bilateral_TS.aspx" TargetMode="External"/><Relationship Id="rId2" Type="http://schemas.openxmlformats.org/officeDocument/2006/relationships/hyperlink" Target="http://www.trademap.org/Bilateral_TS.aspx" TargetMode="External"/><Relationship Id="rId3" Type="http://schemas.openxmlformats.org/officeDocument/2006/relationships/hyperlink" Target="http://www.trademap.org/Bilateral_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1373</Words>
  <Characters>7827</Characters>
  <Application>Microsoft Macintosh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Marina</cp:lastModifiedBy>
  <cp:revision>81</cp:revision>
  <dcterms:created xsi:type="dcterms:W3CDTF">2014-03-26T15:38:00Z</dcterms:created>
  <dcterms:modified xsi:type="dcterms:W3CDTF">2014-04-18T12:53:00Z</dcterms:modified>
</cp:coreProperties>
</file>